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655D44">
        <w:tc>
          <w:tcPr>
            <w:tcW w:w="2438" w:type="dxa"/>
            <w:shd w:val="clear" w:color="auto" w:fill="auto"/>
          </w:tcPr>
          <w:p w:rsidR="00762962" w:rsidRDefault="00762962" w:rsidP="004A6D2F">
            <w:pPr>
              <w:rPr>
                <w:rStyle w:val="Firstpagetablebold"/>
              </w:rPr>
            </w:pPr>
          </w:p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762962" w:rsidRDefault="00762962" w:rsidP="004A6D2F">
            <w:pPr>
              <w:rPr>
                <w:rStyle w:val="Firstpagetablebold"/>
              </w:rPr>
            </w:pPr>
          </w:p>
          <w:p w:rsidR="00655D44" w:rsidRDefault="00655D44" w:rsidP="004A6D2F">
            <w:pPr>
              <w:rPr>
                <w:rStyle w:val="Firstpagetablebold"/>
              </w:rPr>
            </w:pPr>
          </w:p>
          <w:p w:rsidR="00F445B1" w:rsidRPr="00F95BC9" w:rsidRDefault="00F445B1" w:rsidP="004A6D2F">
            <w:pPr>
              <w:rPr>
                <w:rStyle w:val="Firstpagetablebold"/>
              </w:rPr>
            </w:pPr>
            <w:r w:rsidRPr="00F95BC9">
              <w:rPr>
                <w:rStyle w:val="Firstpagetablebold"/>
              </w:rPr>
              <w:t>City Executive Board</w:t>
            </w:r>
          </w:p>
        </w:tc>
      </w:tr>
      <w:tr w:rsidR="00CE544A" w:rsidRPr="00975B07" w:rsidTr="00655D44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5C1336" w:rsidP="00203CCB">
            <w:pPr>
              <w:rPr>
                <w:b/>
              </w:rPr>
            </w:pPr>
            <w:r>
              <w:rPr>
                <w:rStyle w:val="Firstpagetablebold"/>
              </w:rPr>
              <w:t>14 April 2016</w:t>
            </w:r>
          </w:p>
        </w:tc>
      </w:tr>
      <w:tr w:rsidR="00CE544A" w:rsidRPr="00975B07" w:rsidTr="00655D44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5C1336" w:rsidP="005C1336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 xml:space="preserve">Assistant Chief </w:t>
            </w:r>
            <w:r w:rsidR="00FD1DFA" w:rsidRPr="001356F1">
              <w:rPr>
                <w:rStyle w:val="Firstpagetablebold"/>
              </w:rPr>
              <w:t xml:space="preserve">Executive </w:t>
            </w:r>
            <w:bookmarkStart w:id="0" w:name="_GoBack"/>
            <w:bookmarkEnd w:id="0"/>
          </w:p>
        </w:tc>
      </w:tr>
      <w:tr w:rsidR="00CE544A" w:rsidRPr="00975B07" w:rsidTr="00655D44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5C1336" w:rsidP="005C1336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 xml:space="preserve">Devolution – Update </w:t>
            </w:r>
          </w:p>
        </w:tc>
      </w:tr>
    </w:tbl>
    <w:p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:rsidTr="00725D9C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725D9C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5C1336" w:rsidP="00203CCB">
            <w:r>
              <w:t>To update the Board on devolution and to authorise further joint working in support of it.</w:t>
            </w:r>
          </w:p>
        </w:tc>
      </w:tr>
      <w:tr w:rsidR="00D5547E" w:rsidTr="00725D9C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D5547E" w:rsidP="005C1336">
            <w:r w:rsidRPr="001356F1">
              <w:t xml:space="preserve">Yes </w:t>
            </w:r>
          </w:p>
        </w:tc>
      </w:tr>
      <w:tr w:rsidR="00D5547E" w:rsidTr="00725D9C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Board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D5547E" w:rsidP="005C1336">
            <w:r w:rsidRPr="001356F1">
              <w:t xml:space="preserve">Councillor </w:t>
            </w:r>
            <w:r w:rsidR="005C1336">
              <w:t>Bob Price</w:t>
            </w:r>
          </w:p>
        </w:tc>
      </w:tr>
      <w:tr w:rsidR="0080749A" w:rsidTr="00725D9C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0749A" w:rsidRPr="001356F1" w:rsidRDefault="00747E90" w:rsidP="00747E90">
            <w:r>
              <w:t xml:space="preserve">Efficient and Effective Council </w:t>
            </w:r>
          </w:p>
        </w:tc>
      </w:tr>
      <w:tr w:rsidR="00D5547E" w:rsidTr="00747E90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5547E" w:rsidRDefault="00D5547E">
            <w:pPr>
              <w:rPr>
                <w:rStyle w:val="Firstpagetablebold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5547E" w:rsidRPr="001356F1" w:rsidRDefault="00D5547E" w:rsidP="005C1336"/>
        </w:tc>
      </w:tr>
      <w:tr w:rsidR="005F7F7E" w:rsidRPr="00975B07" w:rsidTr="00725D9C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:rsidR="005F7F7E" w:rsidRPr="00975B07" w:rsidRDefault="005F7F7E" w:rsidP="004A6D2F">
            <w:r>
              <w:rPr>
                <w:rStyle w:val="Firstpagetablebold"/>
              </w:rPr>
              <w:t>Recommendation(s):That the City Executive Board resolves to:</w:t>
            </w:r>
          </w:p>
        </w:tc>
      </w:tr>
      <w:tr w:rsidR="0030208D" w:rsidRPr="00975B07" w:rsidTr="00725D9C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0208D" w:rsidRPr="00975B07" w:rsidRDefault="00046D2B" w:rsidP="004A6D2F">
            <w:r w:rsidRPr="00975B07">
              <w:t>1.</w:t>
            </w: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FE3F8F" w:rsidRPr="005C1336" w:rsidRDefault="00203CCB" w:rsidP="00203CCB">
            <w:pPr>
              <w:rPr>
                <w:b/>
              </w:rPr>
            </w:pPr>
            <w:r w:rsidRPr="00203CCB">
              <w:rPr>
                <w:rStyle w:val="Firstpagetablebold"/>
              </w:rPr>
              <w:t>Agree</w:t>
            </w:r>
            <w:r w:rsidR="00FC5CB2" w:rsidRPr="00203CCB">
              <w:rPr>
                <w:rStyle w:val="Firstpagetablebold"/>
              </w:rPr>
              <w:t xml:space="preserve"> </w:t>
            </w:r>
            <w:r w:rsidR="00FC5CB2">
              <w:rPr>
                <w:rStyle w:val="Firstpagetablebold"/>
                <w:b w:val="0"/>
              </w:rPr>
              <w:t xml:space="preserve">to work with the other District Councils and partners to further develop </w:t>
            </w:r>
            <w:r w:rsidR="005C1336" w:rsidRPr="005C1336">
              <w:rPr>
                <w:rStyle w:val="Firstpagetablebold"/>
                <w:b w:val="0"/>
              </w:rPr>
              <w:t>the initi</w:t>
            </w:r>
            <w:r w:rsidR="003846CA">
              <w:rPr>
                <w:rStyle w:val="Firstpagetablebold"/>
                <w:b w:val="0"/>
              </w:rPr>
              <w:t>al unitary devolution proposals</w:t>
            </w:r>
            <w:r>
              <w:rPr>
                <w:rStyle w:val="Firstpagetablebold"/>
                <w:b w:val="0"/>
              </w:rPr>
              <w:t>.</w:t>
            </w:r>
          </w:p>
        </w:tc>
      </w:tr>
      <w:tr w:rsidR="0030208D" w:rsidRPr="00975B07" w:rsidTr="00725D9C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0208D" w:rsidRPr="00975B07" w:rsidRDefault="00046D2B" w:rsidP="004A6D2F">
            <w:r w:rsidRPr="00975B07">
              <w:t>2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208D" w:rsidRPr="001356F1" w:rsidRDefault="00203CCB" w:rsidP="00203CCB">
            <w:r w:rsidRPr="00203CCB">
              <w:rPr>
                <w:rStyle w:val="Firstpagetablebold"/>
              </w:rPr>
              <w:t>Agree</w:t>
            </w:r>
            <w:r w:rsidR="00FC5CB2">
              <w:rPr>
                <w:rStyle w:val="Firstpagetablebold"/>
                <w:b w:val="0"/>
              </w:rPr>
              <w:t xml:space="preserve"> that independent consultants should be jointly appointed by the Districts to undertake detailed work and a </w:t>
            </w:r>
            <w:r w:rsidR="005C1336" w:rsidRPr="00FE3F8F">
              <w:rPr>
                <w:rStyle w:val="Firstpagetablebold"/>
                <w:b w:val="0"/>
              </w:rPr>
              <w:t>contribution of</w:t>
            </w:r>
            <w:r w:rsidR="005C1336">
              <w:rPr>
                <w:rStyle w:val="Firstpagetablebold"/>
              </w:rPr>
              <w:t xml:space="preserve"> </w:t>
            </w:r>
            <w:r w:rsidR="00FE3F8F">
              <w:rPr>
                <w:rStyle w:val="Firstpagetablebold"/>
                <w:b w:val="0"/>
              </w:rPr>
              <w:t xml:space="preserve">up </w:t>
            </w:r>
            <w:r w:rsidR="005C1336" w:rsidRPr="005C1336">
              <w:rPr>
                <w:rStyle w:val="Firstpagetablebold"/>
                <w:b w:val="0"/>
              </w:rPr>
              <w:t>to £</w:t>
            </w:r>
            <w:r w:rsidR="00115460">
              <w:rPr>
                <w:rStyle w:val="Firstpagetablebold"/>
                <w:b w:val="0"/>
              </w:rPr>
              <w:t>50</w:t>
            </w:r>
            <w:r w:rsidR="005C1336" w:rsidRPr="005C1336">
              <w:rPr>
                <w:rStyle w:val="Firstpagetablebold"/>
                <w:b w:val="0"/>
              </w:rPr>
              <w:t>k be made to facilitate th</w:t>
            </w:r>
            <w:r w:rsidR="00725D9C">
              <w:rPr>
                <w:rStyle w:val="Firstpagetablebold"/>
                <w:b w:val="0"/>
              </w:rPr>
              <w:t>ose studies.</w:t>
            </w:r>
          </w:p>
        </w:tc>
      </w:tr>
      <w:tr w:rsidR="002A080C" w:rsidRPr="00975B07" w:rsidTr="00725D9C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080C" w:rsidRPr="00975B07" w:rsidRDefault="002A080C" w:rsidP="004A6D2F">
            <w:r>
              <w:t>3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A080C" w:rsidRPr="00203CCB" w:rsidRDefault="00203CCB" w:rsidP="00655D44">
            <w:pPr>
              <w:rPr>
                <w:rStyle w:val="Firstpagetablebold"/>
                <w:b w:val="0"/>
              </w:rPr>
            </w:pPr>
            <w:r w:rsidRPr="00203CCB">
              <w:rPr>
                <w:rStyle w:val="Firstpagetablebold"/>
              </w:rPr>
              <w:t>Recommend</w:t>
            </w:r>
            <w:r w:rsidR="002A080C" w:rsidRPr="00203CCB">
              <w:rPr>
                <w:rStyle w:val="Firstpagetablebold"/>
              </w:rPr>
              <w:t xml:space="preserve"> Council to</w:t>
            </w:r>
            <w:r w:rsidR="002A080C" w:rsidRPr="00203CCB">
              <w:rPr>
                <w:rStyle w:val="Firstpagetablebold"/>
                <w:b w:val="0"/>
              </w:rPr>
              <w:t xml:space="preserve"> allocate the budget of £50k to</w:t>
            </w:r>
            <w:r w:rsidR="004E3F49">
              <w:t xml:space="preserve"> support the initial study on viability and sustainability and governance; specialist work on collaboration around Children and Adult services; public consultation and involvement; and preparation of a revised Devolution Deal. This will be</w:t>
            </w:r>
            <w:r w:rsidR="002A080C" w:rsidRPr="00203CCB">
              <w:rPr>
                <w:rStyle w:val="Firstpagetablebold"/>
                <w:b w:val="0"/>
              </w:rPr>
              <w:t xml:space="preserve"> funded from reserves and balances</w:t>
            </w:r>
            <w:r w:rsidR="003846CA" w:rsidRPr="00203CCB">
              <w:rPr>
                <w:rStyle w:val="Firstpagetablebold"/>
                <w:b w:val="0"/>
              </w:rPr>
              <w:t>.</w:t>
            </w:r>
            <w:r w:rsidR="002A080C" w:rsidRPr="00203CCB">
              <w:rPr>
                <w:rStyle w:val="Firstpagetablebold"/>
                <w:b w:val="0"/>
              </w:rPr>
              <w:t xml:space="preserve"> </w:t>
            </w:r>
            <w:r w:rsidR="002A080C" w:rsidRPr="00203CCB">
              <w:rPr>
                <w:b/>
              </w:rPr>
              <w:t xml:space="preserve"> </w:t>
            </w:r>
          </w:p>
        </w:tc>
      </w:tr>
      <w:tr w:rsidR="00966D42" w:rsidRPr="00975B07" w:rsidTr="0072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725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D5860" w:rsidRPr="00975B07" w:rsidRDefault="00ED5860" w:rsidP="004A6D2F"/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D5860" w:rsidRPr="001356F1" w:rsidRDefault="00ED5860" w:rsidP="004A6D2F"/>
        </w:tc>
      </w:tr>
    </w:tbl>
    <w:p w:rsidR="0040736F" w:rsidRDefault="00F66DCA" w:rsidP="004A6D2F">
      <w:pPr>
        <w:pStyle w:val="Heading1"/>
      </w:pPr>
      <w:r w:rsidRPr="001356F1">
        <w:t>Introduction and b</w:t>
      </w:r>
      <w:r w:rsidR="00151888" w:rsidRPr="001356F1">
        <w:t>ackground</w:t>
      </w:r>
      <w:r w:rsidR="00404032" w:rsidRPr="001356F1">
        <w:t xml:space="preserve"> </w:t>
      </w:r>
    </w:p>
    <w:p w:rsidR="00FE42DE" w:rsidRDefault="00756B96" w:rsidP="00725D9C">
      <w:pPr>
        <w:pStyle w:val="ListParagraph"/>
      </w:pPr>
      <w:r>
        <w:t xml:space="preserve">Following the July budget in 2015 the Government invited expressions of interest from local authorities for devolution proposals.  </w:t>
      </w:r>
      <w:r w:rsidR="00555508" w:rsidRPr="005546D3">
        <w:t xml:space="preserve">The councils in Oxfordshire </w:t>
      </w:r>
      <w:r w:rsidR="00555508">
        <w:t>worked together with the Local Enterprise Partnership and the Clinical Commissioning Group during the autumn of 2015</w:t>
      </w:r>
      <w:r w:rsidR="00555508" w:rsidRPr="005546D3">
        <w:t xml:space="preserve"> on proposals for an </w:t>
      </w:r>
      <w:r w:rsidR="00747E90">
        <w:t xml:space="preserve">ambitious devolution deal with </w:t>
      </w:r>
      <w:proofErr w:type="gramStart"/>
      <w:r w:rsidR="00747E90">
        <w:t>G</w:t>
      </w:r>
      <w:r w:rsidR="00555508" w:rsidRPr="005546D3">
        <w:t xml:space="preserve">overnment </w:t>
      </w:r>
      <w:r w:rsidR="00555508">
        <w:t>,</w:t>
      </w:r>
      <w:proofErr w:type="gramEnd"/>
      <w:r w:rsidR="003846CA">
        <w:t xml:space="preserve"> </w:t>
      </w:r>
      <w:r w:rsidR="00555508" w:rsidRPr="005546D3">
        <w:t xml:space="preserve">with the aims of securing greater powers and funding locally to </w:t>
      </w:r>
      <w:r w:rsidR="00555508">
        <w:t xml:space="preserve">realise </w:t>
      </w:r>
      <w:r w:rsidR="00555508">
        <w:lastRenderedPageBreak/>
        <w:t xml:space="preserve">our </w:t>
      </w:r>
      <w:r w:rsidR="00555508" w:rsidRPr="005546D3">
        <w:t xml:space="preserve"> economic growth </w:t>
      </w:r>
      <w:r w:rsidR="00555508">
        <w:t>potential ,</w:t>
      </w:r>
      <w:r w:rsidR="00555508" w:rsidRPr="005546D3">
        <w:t xml:space="preserve">and to reform the way that public services are designed and delivered locally.  </w:t>
      </w:r>
    </w:p>
    <w:p w:rsidR="001F1746" w:rsidRPr="005546D3" w:rsidRDefault="001F1746" w:rsidP="00725D9C">
      <w:pPr>
        <w:pStyle w:val="ListParagraph"/>
      </w:pPr>
      <w:r>
        <w:t xml:space="preserve">In </w:t>
      </w:r>
      <w:r w:rsidR="00555508">
        <w:t>summary</w:t>
      </w:r>
      <w:r>
        <w:t>,</w:t>
      </w:r>
      <w:r w:rsidR="00555508">
        <w:t xml:space="preserve"> the proposals included</w:t>
      </w:r>
      <w:r>
        <w:t>:</w:t>
      </w:r>
    </w:p>
    <w:p w:rsidR="00691ECB" w:rsidRPr="00725D9C" w:rsidRDefault="00555508" w:rsidP="00691ECB">
      <w:pPr>
        <w:pStyle w:val="ListParagraph"/>
        <w:numPr>
          <w:ilvl w:val="0"/>
          <w:numId w:val="36"/>
        </w:numPr>
        <w:tabs>
          <w:tab w:val="clear" w:pos="426"/>
        </w:tabs>
        <w:autoSpaceDE w:val="0"/>
        <w:autoSpaceDN w:val="0"/>
        <w:adjustRightInd w:val="0"/>
        <w:spacing w:after="0" w:line="252" w:lineRule="auto"/>
        <w:contextualSpacing/>
        <w:rPr>
          <w:rFonts w:ascii="ArialMT" w:eastAsia="Calibri" w:hAnsi="ArialMT" w:cs="ArialMT"/>
          <w:color w:val="auto"/>
          <w:lang w:eastAsia="en-US"/>
        </w:rPr>
      </w:pPr>
      <w:r>
        <w:t>Bring</w:t>
      </w:r>
      <w:r w:rsidR="00203CCB">
        <w:t>ing</w:t>
      </w:r>
      <w:r w:rsidR="001F1746" w:rsidRPr="005546D3">
        <w:t xml:space="preserve"> together NHS services with local government social care to save money on the £1bn budget and provide better services for patients and tackle the challenge of our ageing population.</w:t>
      </w:r>
      <w:r w:rsidR="00691ECB" w:rsidRPr="00691ECB">
        <w:rPr>
          <w:rFonts w:eastAsiaTheme="minorHAnsi" w:cs="Arial"/>
          <w:b/>
          <w:color w:val="auto"/>
          <w:lang w:eastAsia="en-US"/>
        </w:rPr>
        <w:t xml:space="preserve"> </w:t>
      </w:r>
    </w:p>
    <w:p w:rsidR="00691ECB" w:rsidRPr="005546D3" w:rsidRDefault="00691ECB" w:rsidP="00691ECB">
      <w:pPr>
        <w:pStyle w:val="ListParagraph"/>
        <w:numPr>
          <w:ilvl w:val="0"/>
          <w:numId w:val="36"/>
        </w:numPr>
        <w:tabs>
          <w:tab w:val="clear" w:pos="426"/>
        </w:tabs>
        <w:autoSpaceDE w:val="0"/>
        <w:autoSpaceDN w:val="0"/>
        <w:adjustRightInd w:val="0"/>
        <w:spacing w:after="0"/>
        <w:contextualSpacing/>
      </w:pPr>
      <w:r w:rsidRPr="005546D3">
        <w:t>Creating a new infrastructure investment fund to back a locally agreed investment programme to deliver the roads and infrastructure we need.</w:t>
      </w:r>
    </w:p>
    <w:p w:rsidR="00691ECB" w:rsidRPr="00691ECB" w:rsidRDefault="00691ECB" w:rsidP="00691ECB">
      <w:pPr>
        <w:numPr>
          <w:ilvl w:val="0"/>
          <w:numId w:val="36"/>
        </w:numPr>
        <w:autoSpaceDE w:val="0"/>
        <w:autoSpaceDN w:val="0"/>
        <w:adjustRightInd w:val="0"/>
        <w:spacing w:after="0" w:line="252" w:lineRule="auto"/>
        <w:contextualSpacing/>
        <w:rPr>
          <w:rFonts w:eastAsia="Calibri" w:cs="Arial"/>
          <w:color w:val="auto"/>
          <w:lang w:eastAsia="en-US"/>
        </w:rPr>
      </w:pPr>
      <w:r w:rsidRPr="00725D9C">
        <w:rPr>
          <w:rFonts w:eastAsia="Calibri" w:cs="Arial"/>
          <w:color w:val="auto"/>
          <w:lang w:eastAsia="en-US"/>
        </w:rPr>
        <w:t>Tackling housing shortages and affordability</w:t>
      </w:r>
      <w:r w:rsidRPr="00691ECB">
        <w:rPr>
          <w:rFonts w:ascii="ArialMT" w:eastAsia="Calibri" w:hAnsi="ArialMT" w:cs="ArialMT"/>
          <w:color w:val="auto"/>
          <w:lang w:eastAsia="en-US"/>
        </w:rPr>
        <w:t xml:space="preserve"> – through aligning strategic infrastructure and housing investment and an integrated approach to strategic planning.</w:t>
      </w:r>
    </w:p>
    <w:p w:rsidR="00691ECB" w:rsidRPr="00691ECB" w:rsidRDefault="001F1746" w:rsidP="00691ECB">
      <w:pPr>
        <w:numPr>
          <w:ilvl w:val="0"/>
          <w:numId w:val="36"/>
        </w:numPr>
        <w:autoSpaceDE w:val="0"/>
        <w:autoSpaceDN w:val="0"/>
        <w:adjustRightInd w:val="0"/>
        <w:spacing w:after="0"/>
        <w:contextualSpacing/>
        <w:rPr>
          <w:rFonts w:ascii="ArialMT" w:eastAsia="Calibri" w:hAnsi="ArialMT" w:cs="ArialMT"/>
          <w:color w:val="auto"/>
          <w:lang w:eastAsia="en-US"/>
        </w:rPr>
      </w:pPr>
      <w:r w:rsidRPr="005546D3">
        <w:t>Taking on responsibility for ski</w:t>
      </w:r>
      <w:r w:rsidR="00691ECB">
        <w:t>lls funding and apprenticeships</w:t>
      </w:r>
      <w:r w:rsidR="00691ECB" w:rsidRPr="00691ECB">
        <w:rPr>
          <w:rFonts w:ascii="ArialMT" w:eastAsia="Calibri" w:hAnsi="ArialMT" w:cs="ArialMT"/>
          <w:color w:val="auto"/>
          <w:lang w:eastAsia="en-US"/>
        </w:rPr>
        <w:t xml:space="preserve"> better targeting of funding for skills so it supports development of the skills base needed by local employers; and better coordination of business support programmes to support innovative and entrepreneurial companies.</w:t>
      </w:r>
    </w:p>
    <w:p w:rsidR="00FE3F8F" w:rsidRDefault="00FE3F8F" w:rsidP="00FE3F8F">
      <w:pPr>
        <w:pStyle w:val="bParagraphtext"/>
        <w:numPr>
          <w:ilvl w:val="0"/>
          <w:numId w:val="0"/>
        </w:numPr>
        <w:ind w:left="426"/>
      </w:pPr>
    </w:p>
    <w:p w:rsidR="00725D9C" w:rsidRDefault="00691ECB" w:rsidP="00725D9C">
      <w:pPr>
        <w:pStyle w:val="bParagraphtext"/>
      </w:pPr>
      <w:r w:rsidRPr="00555508">
        <w:t xml:space="preserve">The proposals included </w:t>
      </w:r>
      <w:r w:rsidR="00FE42DE" w:rsidRPr="00555508">
        <w:t xml:space="preserve"> </w:t>
      </w:r>
      <w:r w:rsidRPr="00555508">
        <w:t xml:space="preserve">the creation of a </w:t>
      </w:r>
      <w:r w:rsidR="00FE42DE" w:rsidRPr="00555508">
        <w:t xml:space="preserve"> </w:t>
      </w:r>
      <w:r w:rsidRPr="00555508">
        <w:t>C</w:t>
      </w:r>
      <w:r w:rsidR="00FE42DE" w:rsidRPr="00555508">
        <w:t xml:space="preserve">ombined </w:t>
      </w:r>
      <w:r w:rsidRPr="00555508">
        <w:t>A</w:t>
      </w:r>
      <w:r w:rsidR="00FE42DE" w:rsidRPr="00555508">
        <w:t xml:space="preserve">uthority </w:t>
      </w:r>
      <w:r w:rsidRPr="00555508">
        <w:t xml:space="preserve">through which the councils would work </w:t>
      </w:r>
      <w:r w:rsidRPr="00725D9C">
        <w:t xml:space="preserve">in partnership with the Clinical Commissioning Group and the Local Enterprise Partnership </w:t>
      </w:r>
      <w:r w:rsidR="00555508">
        <w:rPr>
          <w:rFonts w:cs="Arial"/>
          <w:iCs/>
        </w:rPr>
        <w:t xml:space="preserve">where necessary to </w:t>
      </w:r>
      <w:r w:rsidR="00555508" w:rsidRPr="005546D3">
        <w:rPr>
          <w:rFonts w:cs="Arial"/>
          <w:iCs/>
        </w:rPr>
        <w:t>collectively coordinat</w:t>
      </w:r>
      <w:r w:rsidR="00555508">
        <w:rPr>
          <w:rFonts w:cs="Arial"/>
          <w:iCs/>
        </w:rPr>
        <w:t>e strategic services in which economies of large scale can be secured (</w:t>
      </w:r>
      <w:proofErr w:type="spellStart"/>
      <w:r w:rsidR="00555508">
        <w:rPr>
          <w:rFonts w:cs="Arial"/>
          <w:iCs/>
        </w:rPr>
        <w:t>eg</w:t>
      </w:r>
      <w:proofErr w:type="spellEnd"/>
      <w:r w:rsidR="00203CCB">
        <w:rPr>
          <w:rFonts w:cs="Arial"/>
          <w:iCs/>
        </w:rPr>
        <w:t>.</w:t>
      </w:r>
      <w:r w:rsidR="00555508">
        <w:rPr>
          <w:rFonts w:cs="Arial"/>
          <w:iCs/>
        </w:rPr>
        <w:t xml:space="preserve"> transport planning) </w:t>
      </w:r>
      <w:r w:rsidRPr="00725D9C">
        <w:t xml:space="preserve">across a wider geographical area. </w:t>
      </w:r>
      <w:r w:rsidR="00C40C34" w:rsidRPr="00725D9C">
        <w:t>The proposals rejected the option of</w:t>
      </w:r>
      <w:r w:rsidR="003846CA">
        <w:t xml:space="preserve"> a directly elected M</w:t>
      </w:r>
      <w:r w:rsidR="00FE42DE" w:rsidRPr="00C40C34">
        <w:t>ayor</w:t>
      </w:r>
      <w:r w:rsidR="00C40C34" w:rsidRPr="00C40C34">
        <w:t xml:space="preserve"> as not appro</w:t>
      </w:r>
      <w:r w:rsidR="00C40C34" w:rsidRPr="00555508">
        <w:t>priate for an area as diverse and rural as Oxfordshire</w:t>
      </w:r>
      <w:r w:rsidR="00FE42DE" w:rsidRPr="00555508">
        <w:t>.</w:t>
      </w:r>
    </w:p>
    <w:p w:rsidR="00555508" w:rsidRPr="005546D3" w:rsidRDefault="00C40C34" w:rsidP="00725D9C">
      <w:pPr>
        <w:pStyle w:val="bParagraphtext"/>
      </w:pPr>
      <w:r>
        <w:t xml:space="preserve">Following discussion of the initial proposals in December 2015, more detailed proposals were submitted in February.  </w:t>
      </w:r>
      <w:r w:rsidR="00555508">
        <w:t xml:space="preserve">Following an initial positive response, </w:t>
      </w:r>
      <w:r w:rsidR="003846CA">
        <w:t xml:space="preserve">Government </w:t>
      </w:r>
      <w:r w:rsidR="00555508">
        <w:t>has made clear that the proposals would only make progress if they are</w:t>
      </w:r>
      <w:r w:rsidR="00555508" w:rsidRPr="005546D3">
        <w:t xml:space="preserve"> accompanied by either a </w:t>
      </w:r>
      <w:r w:rsidR="00555508">
        <w:t>d</w:t>
      </w:r>
      <w:r w:rsidR="00555508" w:rsidRPr="005546D3">
        <w:t xml:space="preserve">irectly </w:t>
      </w:r>
      <w:r w:rsidR="00555508">
        <w:t>e</w:t>
      </w:r>
      <w:r w:rsidR="00555508" w:rsidRPr="005546D3">
        <w:t xml:space="preserve">lected </w:t>
      </w:r>
      <w:proofErr w:type="gramStart"/>
      <w:r w:rsidR="00555508" w:rsidRPr="005546D3">
        <w:t>Mayor</w:t>
      </w:r>
      <w:r w:rsidR="00555508">
        <w:t>,</w:t>
      </w:r>
      <w:proofErr w:type="gramEnd"/>
      <w:r w:rsidR="00555508" w:rsidRPr="005546D3">
        <w:t xml:space="preserve"> or a move to </w:t>
      </w:r>
      <w:r w:rsidR="000B31F2">
        <w:t>u</w:t>
      </w:r>
      <w:r w:rsidR="00555508" w:rsidRPr="005546D3">
        <w:t xml:space="preserve">nitary </w:t>
      </w:r>
      <w:r w:rsidR="000B31F2">
        <w:t>c</w:t>
      </w:r>
      <w:r w:rsidR="00555508" w:rsidRPr="005546D3">
        <w:t>ouncils</w:t>
      </w:r>
      <w:r w:rsidR="00555508">
        <w:t>.</w:t>
      </w:r>
      <w:r w:rsidR="00555508" w:rsidDel="00555508">
        <w:t xml:space="preserve"> </w:t>
      </w:r>
      <w:r w:rsidR="00555508" w:rsidRPr="005546D3">
        <w:t xml:space="preserve">  </w:t>
      </w:r>
    </w:p>
    <w:p w:rsidR="00FE42DE" w:rsidRDefault="00FE42DE" w:rsidP="00FE42DE">
      <w:pPr>
        <w:pStyle w:val="Heading1"/>
      </w:pPr>
      <w:r>
        <w:t>Unitary devolution proposals</w:t>
      </w:r>
    </w:p>
    <w:p w:rsidR="00555508" w:rsidRPr="00725D9C" w:rsidRDefault="00FC5CB2" w:rsidP="00725D9C">
      <w:pPr>
        <w:pStyle w:val="ListParagraph"/>
        <w:rPr>
          <w:rFonts w:eastAsia="Calibri" w:cs="Arial"/>
          <w:color w:val="auto"/>
          <w:lang w:eastAsia="en-US"/>
        </w:rPr>
      </w:pPr>
      <w:r>
        <w:t xml:space="preserve">At their budget meeting on 16 February, </w:t>
      </w:r>
      <w:r w:rsidR="00555508" w:rsidRPr="005546D3">
        <w:t xml:space="preserve">Oxfordshire County Council </w:t>
      </w:r>
      <w:r w:rsidR="00555508">
        <w:t>put forward</w:t>
      </w:r>
      <w:r w:rsidR="00555508" w:rsidRPr="005546D3">
        <w:t xml:space="preserve"> proposals for a </w:t>
      </w:r>
      <w:r w:rsidR="00555508">
        <w:t>consultation</w:t>
      </w:r>
      <w:r w:rsidR="00555508" w:rsidRPr="00203CCB">
        <w:rPr>
          <w:color w:val="auto"/>
        </w:rPr>
        <w:t xml:space="preserve"> </w:t>
      </w:r>
      <w:r w:rsidR="00203CCB" w:rsidRPr="00203CCB">
        <w:rPr>
          <w:color w:val="auto"/>
        </w:rPr>
        <w:t>to</w:t>
      </w:r>
      <w:r w:rsidR="00555508" w:rsidRPr="00203CCB">
        <w:rPr>
          <w:color w:val="auto"/>
        </w:rPr>
        <w:t xml:space="preserve"> </w:t>
      </w:r>
      <w:r w:rsidR="00747E90">
        <w:t>Government and made it clear that their preference was for a single Unitary County to cover the whole County</w:t>
      </w:r>
      <w:r w:rsidR="00555508" w:rsidRPr="005546D3">
        <w:t xml:space="preserve">. </w:t>
      </w:r>
      <w:r w:rsidR="00555508" w:rsidRPr="00725D9C">
        <w:rPr>
          <w:rFonts w:eastAsia="Calibri" w:cs="Arial"/>
          <w:iCs/>
          <w:color w:val="auto"/>
          <w:lang w:eastAsia="en-US"/>
        </w:rPr>
        <w:t>The District Councils do not believe that a</w:t>
      </w:r>
      <w:r w:rsidR="00555508" w:rsidRPr="00725D9C">
        <w:rPr>
          <w:rFonts w:eastAsia="Calibri" w:cs="Arial"/>
          <w:color w:val="auto"/>
          <w:lang w:eastAsia="en-US"/>
        </w:rPr>
        <w:t xml:space="preserve"> single county-wide unitary authority is the right solution for Oxfordshire and have put forward alternative proposals for a number of </w:t>
      </w:r>
      <w:r w:rsidR="00203CCB">
        <w:rPr>
          <w:rFonts w:eastAsia="Calibri" w:cs="Arial"/>
          <w:color w:val="auto"/>
          <w:lang w:eastAsia="en-US"/>
        </w:rPr>
        <w:t>u</w:t>
      </w:r>
      <w:r w:rsidR="00555508" w:rsidRPr="00725D9C">
        <w:rPr>
          <w:rFonts w:eastAsia="Calibri" w:cs="Arial"/>
          <w:color w:val="auto"/>
          <w:lang w:eastAsia="en-US"/>
        </w:rPr>
        <w:t>nitary authorities</w:t>
      </w:r>
      <w:r w:rsidR="007C6F9A" w:rsidRPr="00725D9C">
        <w:rPr>
          <w:rFonts w:eastAsia="Calibri" w:cs="Arial"/>
          <w:color w:val="auto"/>
          <w:lang w:eastAsia="en-US"/>
        </w:rPr>
        <w:t xml:space="preserve">.  </w:t>
      </w:r>
      <w:r w:rsidR="00555508" w:rsidRPr="00725D9C">
        <w:rPr>
          <w:rFonts w:eastAsia="Calibri" w:cs="Arial"/>
          <w:color w:val="auto"/>
          <w:lang w:eastAsia="en-US"/>
        </w:rPr>
        <w:t xml:space="preserve">In our view, this would offer a better solution for the people of Oxford and Oxfordshire for two key reasons:  </w:t>
      </w:r>
    </w:p>
    <w:p w:rsidR="00555508" w:rsidRPr="00555508" w:rsidRDefault="00555508" w:rsidP="00725D9C">
      <w:pPr>
        <w:numPr>
          <w:ilvl w:val="0"/>
          <w:numId w:val="39"/>
        </w:numPr>
        <w:spacing w:after="0"/>
        <w:rPr>
          <w:rFonts w:eastAsia="Calibri" w:cs="Arial"/>
          <w:color w:val="auto"/>
          <w:lang w:eastAsia="en-US"/>
        </w:rPr>
      </w:pPr>
      <w:r w:rsidRPr="00555508">
        <w:rPr>
          <w:rFonts w:eastAsia="Calibri" w:cs="Arial"/>
          <w:color w:val="auto"/>
          <w:lang w:eastAsia="en-US"/>
        </w:rPr>
        <w:t>It would allow decision-making and service delivery to better reflect the different challenges and priorities of the communities that we represent in</w:t>
      </w:r>
      <w:r w:rsidR="00FC5CB2">
        <w:rPr>
          <w:rFonts w:eastAsia="Calibri" w:cs="Arial"/>
          <w:color w:val="auto"/>
          <w:lang w:eastAsia="en-US"/>
        </w:rPr>
        <w:t xml:space="preserve"> different parts of the county; </w:t>
      </w:r>
      <w:r w:rsidRPr="00555508">
        <w:rPr>
          <w:rFonts w:eastAsia="Calibri" w:cs="Arial"/>
          <w:color w:val="auto"/>
          <w:lang w:eastAsia="en-US"/>
        </w:rPr>
        <w:t xml:space="preserve">and </w:t>
      </w:r>
    </w:p>
    <w:p w:rsidR="007C6F9A" w:rsidRPr="00725D9C" w:rsidRDefault="00555508" w:rsidP="00725D9C">
      <w:pPr>
        <w:numPr>
          <w:ilvl w:val="0"/>
          <w:numId w:val="39"/>
        </w:numPr>
        <w:spacing w:after="0"/>
        <w:rPr>
          <w:rFonts w:cs="Arial"/>
          <w:color w:val="auto"/>
        </w:rPr>
      </w:pPr>
      <w:r w:rsidRPr="00555508">
        <w:rPr>
          <w:rFonts w:eastAsia="Calibri" w:cs="Arial"/>
          <w:color w:val="auto"/>
          <w:lang w:eastAsia="en-US"/>
        </w:rPr>
        <w:t>It would build on a strong track record of sound financial planning and service transformation that are at the heart of good governance</w:t>
      </w:r>
      <w:r w:rsidR="00725D9C">
        <w:rPr>
          <w:rFonts w:eastAsia="Calibri" w:cs="Arial"/>
          <w:color w:val="auto"/>
          <w:lang w:eastAsia="en-US"/>
        </w:rPr>
        <w:t xml:space="preserve"> and effective service delivery.</w:t>
      </w:r>
    </w:p>
    <w:p w:rsidR="00725D9C" w:rsidRDefault="00725D9C" w:rsidP="00725D9C">
      <w:pPr>
        <w:spacing w:after="0"/>
        <w:ind w:left="720"/>
        <w:rPr>
          <w:rFonts w:cs="Arial"/>
          <w:color w:val="auto"/>
        </w:rPr>
      </w:pPr>
    </w:p>
    <w:p w:rsidR="00725D9C" w:rsidRPr="00747E90" w:rsidRDefault="007C6F9A" w:rsidP="00725D9C">
      <w:pPr>
        <w:pStyle w:val="ListParagraph"/>
        <w:rPr>
          <w:rFonts w:cs="Arial"/>
          <w:color w:val="auto"/>
        </w:rPr>
      </w:pPr>
      <w:r>
        <w:t xml:space="preserve">The </w:t>
      </w:r>
      <w:r w:rsidRPr="005546D3">
        <w:t xml:space="preserve">proposal is to abolish the existing local councils, including the County and to create new </w:t>
      </w:r>
      <w:r w:rsidR="000B31F2">
        <w:t>u</w:t>
      </w:r>
      <w:r w:rsidRPr="005546D3">
        <w:t xml:space="preserve">nitary </w:t>
      </w:r>
      <w:r w:rsidR="000B31F2">
        <w:t>a</w:t>
      </w:r>
      <w:r w:rsidRPr="005546D3">
        <w:t xml:space="preserve">uthorities that would be responsible for running all of the local services within their local area. The preferred option is for </w:t>
      </w:r>
      <w:r w:rsidRPr="007C6F9A">
        <w:rPr>
          <w:iCs/>
        </w:rPr>
        <w:t xml:space="preserve">four new </w:t>
      </w:r>
      <w:r w:rsidR="000B31F2">
        <w:rPr>
          <w:iCs/>
        </w:rPr>
        <w:t>u</w:t>
      </w:r>
      <w:r w:rsidRPr="007C6F9A">
        <w:rPr>
          <w:iCs/>
        </w:rPr>
        <w:t xml:space="preserve">nitary </w:t>
      </w:r>
      <w:r w:rsidR="000B31F2">
        <w:rPr>
          <w:iCs/>
        </w:rPr>
        <w:t>a</w:t>
      </w:r>
      <w:r w:rsidRPr="007C6F9A">
        <w:rPr>
          <w:iCs/>
        </w:rPr>
        <w:t xml:space="preserve">uthorities that would come together where necessary to collectively coordinate strategic services in which economies of large </w:t>
      </w:r>
      <w:r w:rsidRPr="00FC5CB2">
        <w:rPr>
          <w:iCs/>
        </w:rPr>
        <w:t>scale can be secured (</w:t>
      </w:r>
      <w:proofErr w:type="spellStart"/>
      <w:r w:rsidRPr="00FC5CB2">
        <w:rPr>
          <w:iCs/>
        </w:rPr>
        <w:t>eg</w:t>
      </w:r>
      <w:proofErr w:type="spellEnd"/>
      <w:r w:rsidR="000B31F2">
        <w:rPr>
          <w:iCs/>
        </w:rPr>
        <w:t>.</w:t>
      </w:r>
      <w:r w:rsidRPr="00FC5CB2">
        <w:rPr>
          <w:iCs/>
        </w:rPr>
        <w:t xml:space="preserve"> transport planning)</w:t>
      </w:r>
      <w:r w:rsidR="00D36C34">
        <w:rPr>
          <w:iCs/>
        </w:rPr>
        <w:t xml:space="preserve">. </w:t>
      </w:r>
      <w:r w:rsidRPr="005546D3">
        <w:t xml:space="preserve"> In view of the successful partnerships and close working relationships </w:t>
      </w:r>
      <w:r w:rsidRPr="005546D3">
        <w:lastRenderedPageBreak/>
        <w:t xml:space="preserve">that already exist in the north and west of the county, the Oxfordshire District Leaders have agreed to explore a </w:t>
      </w:r>
      <w:r w:rsidR="000B31F2">
        <w:t>u</w:t>
      </w:r>
      <w:r w:rsidRPr="005546D3">
        <w:t xml:space="preserve">nitary </w:t>
      </w:r>
      <w:r w:rsidR="000B31F2">
        <w:t>o</w:t>
      </w:r>
      <w:r w:rsidRPr="005546D3">
        <w:t xml:space="preserve">ption that includes both Cotswold District Council and South Northamptonshire Council. </w:t>
      </w:r>
      <w:r w:rsidRPr="007C6F9A">
        <w:rPr>
          <w:iCs/>
        </w:rPr>
        <w:t xml:space="preserve"> </w:t>
      </w:r>
    </w:p>
    <w:p w:rsidR="00725D9C" w:rsidRPr="00D36C34" w:rsidRDefault="00747E90" w:rsidP="00725D9C">
      <w:pPr>
        <w:pStyle w:val="ListParagraph"/>
        <w:rPr>
          <w:rFonts w:cs="Arial"/>
          <w:color w:val="auto"/>
        </w:rPr>
      </w:pPr>
      <w:r>
        <w:t xml:space="preserve">The new </w:t>
      </w:r>
      <w:r w:rsidR="000B31F2">
        <w:t>u</w:t>
      </w:r>
      <w:r>
        <w:t xml:space="preserve">nitary </w:t>
      </w:r>
      <w:r w:rsidR="000B31F2">
        <w:t>c</w:t>
      </w:r>
      <w:r>
        <w:t xml:space="preserve">ouncils would </w:t>
      </w:r>
      <w:r w:rsidR="007C6F9A" w:rsidRPr="005546D3">
        <w:t>form a Combined Authority</w:t>
      </w:r>
      <w:r w:rsidR="003846CA">
        <w:t xml:space="preserve"> </w:t>
      </w:r>
      <w:r w:rsidR="00655D44">
        <w:t>/</w:t>
      </w:r>
      <w:r w:rsidR="007C6F9A">
        <w:t xml:space="preserve">Joint Committee for strategic joint work and commissioning, </w:t>
      </w:r>
      <w:r w:rsidR="007C6F9A" w:rsidRPr="005546D3">
        <w:t xml:space="preserve">and </w:t>
      </w:r>
      <w:r w:rsidR="007C6F9A">
        <w:t xml:space="preserve">would </w:t>
      </w:r>
      <w:r w:rsidR="007C6F9A" w:rsidRPr="005546D3">
        <w:t xml:space="preserve">work in partnership with the National Health Service, Police and the Local Enterprise Partnership </w:t>
      </w:r>
      <w:r w:rsidR="00D36C34">
        <w:t>in Oxfordshire and neighbouring county areas</w:t>
      </w:r>
      <w:r w:rsidR="00D36C34" w:rsidRPr="00D36C34">
        <w:t xml:space="preserve"> </w:t>
      </w:r>
      <w:r w:rsidR="00D36C34" w:rsidRPr="005546D3">
        <w:t>to coordinate services that need to be managed across a wider geographical area.</w:t>
      </w:r>
    </w:p>
    <w:p w:rsidR="007C6F9A" w:rsidRPr="00725D9C" w:rsidRDefault="007C6F9A" w:rsidP="00725D9C">
      <w:pPr>
        <w:pStyle w:val="ListParagraph"/>
        <w:rPr>
          <w:rFonts w:cs="Arial"/>
          <w:color w:val="auto"/>
        </w:rPr>
      </w:pPr>
      <w:r>
        <w:t xml:space="preserve">The </w:t>
      </w:r>
      <w:r w:rsidRPr="005546D3">
        <w:t xml:space="preserve">proposals have been drawn up in support of the </w:t>
      </w:r>
      <w:r>
        <w:t>substantive elements of the original d</w:t>
      </w:r>
      <w:r w:rsidRPr="005546D3">
        <w:t>evolution proposals and</w:t>
      </w:r>
      <w:r>
        <w:t xml:space="preserve"> are intended to</w:t>
      </w:r>
      <w:r w:rsidRPr="005546D3">
        <w:t xml:space="preserve"> provide a better approach to the implementation of th</w:t>
      </w:r>
      <w:r>
        <w:t>ose proposals.</w:t>
      </w:r>
    </w:p>
    <w:p w:rsidR="009705F9" w:rsidRDefault="009705F9" w:rsidP="009705F9">
      <w:pPr>
        <w:pStyle w:val="bParagraphtext"/>
        <w:numPr>
          <w:ilvl w:val="0"/>
          <w:numId w:val="0"/>
        </w:numPr>
        <w:rPr>
          <w:b/>
        </w:rPr>
      </w:pPr>
      <w:r>
        <w:rPr>
          <w:b/>
        </w:rPr>
        <w:t>Next Steps</w:t>
      </w:r>
    </w:p>
    <w:p w:rsidR="009705F9" w:rsidRDefault="00747E90" w:rsidP="009705F9">
      <w:pPr>
        <w:pStyle w:val="bParagraphtext"/>
      </w:pPr>
      <w:r>
        <w:t>There is clearly</w:t>
      </w:r>
      <w:r w:rsidR="009705F9">
        <w:t xml:space="preserve"> a lot o</w:t>
      </w:r>
      <w:r w:rsidR="00FE3F8F">
        <w:t>f detail to be worked through o</w:t>
      </w:r>
      <w:r w:rsidR="009705F9">
        <w:t xml:space="preserve">ver the coming months.  The next step will be to jointly commission independent experts with our partners to </w:t>
      </w:r>
      <w:r w:rsidR="00FC5CB2">
        <w:t xml:space="preserve">produce detailed, costed plans for the preferred option and </w:t>
      </w:r>
      <w:r w:rsidR="009705F9">
        <w:t xml:space="preserve">test </w:t>
      </w:r>
      <w:r w:rsidR="00FC5CB2">
        <w:t xml:space="preserve">them against other options to ensure </w:t>
      </w:r>
      <w:r w:rsidR="009705F9">
        <w:t xml:space="preserve">the best and most cost-effective solutions.  It is proposed that </w:t>
      </w:r>
      <w:r w:rsidR="000B31F2">
        <w:t>Oxford City</w:t>
      </w:r>
      <w:r w:rsidR="009705F9">
        <w:t xml:space="preserve"> Council contribute up to £</w:t>
      </w:r>
      <w:r w:rsidR="00115460">
        <w:t>50</w:t>
      </w:r>
      <w:r w:rsidR="009705F9">
        <w:t>,000 to jointly commission this detailed work.</w:t>
      </w:r>
    </w:p>
    <w:p w:rsidR="00FC5CB2" w:rsidRPr="007C6F9A" w:rsidRDefault="00FC5CB2" w:rsidP="00FC5CB2">
      <w:pPr>
        <w:pStyle w:val="ListParagraph"/>
        <w:rPr>
          <w:rFonts w:eastAsia="Calibri"/>
          <w:lang w:eastAsia="en-US"/>
        </w:rPr>
      </w:pPr>
      <w:r w:rsidRPr="007C6F9A">
        <w:rPr>
          <w:rFonts w:eastAsia="Calibri"/>
          <w:lang w:eastAsia="en-US"/>
        </w:rPr>
        <w:t xml:space="preserve">Detailed proposals will be considered by each of the </w:t>
      </w:r>
      <w:r w:rsidR="000B31F2">
        <w:rPr>
          <w:rFonts w:eastAsia="Calibri"/>
          <w:lang w:eastAsia="en-US"/>
        </w:rPr>
        <w:t>c</w:t>
      </w:r>
      <w:r w:rsidRPr="007C6F9A">
        <w:rPr>
          <w:rFonts w:eastAsia="Calibri"/>
          <w:lang w:eastAsia="en-US"/>
        </w:rPr>
        <w:t>ouncils prior to</w:t>
      </w:r>
      <w:r>
        <w:rPr>
          <w:rFonts w:eastAsia="Calibri"/>
          <w:lang w:eastAsia="en-US"/>
        </w:rPr>
        <w:t xml:space="preserve"> full </w:t>
      </w:r>
      <w:r w:rsidRPr="007C6F9A">
        <w:rPr>
          <w:rFonts w:eastAsia="Calibri"/>
          <w:lang w:eastAsia="en-US"/>
        </w:rPr>
        <w:t xml:space="preserve">public consultation in the summer. We would need to be certain of the benefits for the residents of Oxford.  </w:t>
      </w:r>
    </w:p>
    <w:p w:rsidR="0040736F" w:rsidRPr="001356F1" w:rsidRDefault="002329CF" w:rsidP="004A6D2F">
      <w:pPr>
        <w:pStyle w:val="Heading1"/>
      </w:pPr>
      <w:r w:rsidRPr="001356F1">
        <w:t>Financial implications</w:t>
      </w:r>
    </w:p>
    <w:p w:rsidR="004E3F49" w:rsidRDefault="004E3F49" w:rsidP="004E3F49">
      <w:pPr>
        <w:pStyle w:val="ListParagraph"/>
      </w:pPr>
      <w:r>
        <w:t>The cost of the work required</w:t>
      </w:r>
      <w:r w:rsidR="00115460">
        <w:t xml:space="preserve"> will be funded jointly by partner authorities. It is estimated that the cost will be up to £50k </w:t>
      </w:r>
      <w:r>
        <w:t>to support the initial study on viability and sustainability and governance; specialist work on collaboration around Children and Adult services; public consultation and involvement; and preparation of a revised Devolution Deal.</w:t>
      </w:r>
    </w:p>
    <w:p w:rsidR="00E87F7A" w:rsidRPr="001356F1" w:rsidRDefault="00115460" w:rsidP="005570B5">
      <w:pPr>
        <w:pStyle w:val="ListParagraph"/>
      </w:pPr>
      <w:r>
        <w:t xml:space="preserve">The contribution from Oxford City will be funded from reserves and balances.  </w:t>
      </w:r>
    </w:p>
    <w:p w:rsidR="0040736F" w:rsidRPr="001356F1" w:rsidRDefault="00DA614B" w:rsidP="004A6D2F">
      <w:pPr>
        <w:pStyle w:val="Heading1"/>
      </w:pPr>
      <w:r w:rsidRPr="001356F1">
        <w:t>Legal issues</w:t>
      </w:r>
    </w:p>
    <w:p w:rsidR="00725D9C" w:rsidRDefault="00725D9C" w:rsidP="00725D9C">
      <w:pPr>
        <w:pStyle w:val="ListParagraph"/>
      </w:pPr>
      <w:r>
        <w:t>Whilst the restructuring of local government in the area has fundamental legal implications, there are none ari</w:t>
      </w:r>
      <w:r w:rsidR="003846CA">
        <w:t xml:space="preserve">sing directly from this </w:t>
      </w:r>
      <w:proofErr w:type="gramStart"/>
      <w:r w:rsidR="003846CA">
        <w:t>report.</w:t>
      </w:r>
      <w:proofErr w:type="gramEnd"/>
    </w:p>
    <w:p w:rsidR="002329CF" w:rsidRDefault="002329CF" w:rsidP="004A6D2F">
      <w:pPr>
        <w:pStyle w:val="Heading1"/>
      </w:pPr>
      <w:r w:rsidRPr="001356F1">
        <w:t>Level of risk</w:t>
      </w:r>
    </w:p>
    <w:p w:rsidR="00747E90" w:rsidRPr="00071F89" w:rsidRDefault="00747E90" w:rsidP="00203CCB">
      <w:pPr>
        <w:ind w:left="426" w:hanging="426"/>
        <w:rPr>
          <w:color w:val="auto"/>
        </w:rPr>
      </w:pPr>
      <w:r>
        <w:t xml:space="preserve">14. </w:t>
      </w:r>
      <w:r w:rsidR="005E2A5F">
        <w:t>There is a significant risk that without commissioning the suggested work to develop the proposals and</w:t>
      </w:r>
      <w:r w:rsidR="005E2A5F" w:rsidRPr="005E2A5F">
        <w:rPr>
          <w:rFonts w:eastAsiaTheme="minorHAnsi" w:cs="Arial"/>
          <w:color w:val="auto"/>
          <w:lang w:eastAsia="en-US"/>
        </w:rPr>
        <w:t xml:space="preserve"> test</w:t>
      </w:r>
      <w:r w:rsidR="005E2A5F">
        <w:rPr>
          <w:rFonts w:eastAsiaTheme="minorHAnsi" w:cs="Arial"/>
          <w:color w:val="auto"/>
          <w:lang w:eastAsia="en-US"/>
        </w:rPr>
        <w:t xml:space="preserve"> their viability and cost</w:t>
      </w:r>
      <w:r w:rsidR="005E2A5F" w:rsidRPr="005E2A5F">
        <w:rPr>
          <w:rFonts w:eastAsiaTheme="minorHAnsi" w:cs="Arial"/>
          <w:color w:val="auto"/>
          <w:lang w:eastAsia="en-US"/>
        </w:rPr>
        <w:t xml:space="preserve"> against </w:t>
      </w:r>
      <w:r w:rsidR="005E2A5F">
        <w:rPr>
          <w:rFonts w:eastAsiaTheme="minorHAnsi" w:cs="Arial"/>
          <w:color w:val="auto"/>
          <w:lang w:eastAsia="en-US"/>
        </w:rPr>
        <w:t>comparators</w:t>
      </w:r>
      <w:r w:rsidR="00D566CA">
        <w:rPr>
          <w:rFonts w:eastAsiaTheme="minorHAnsi" w:cs="Arial"/>
          <w:color w:val="auto"/>
          <w:lang w:eastAsia="en-US"/>
        </w:rPr>
        <w:t>, potential changes to the structure of local government in Oxfordshire will not deliver</w:t>
      </w:r>
      <w:r w:rsidR="005E2A5F" w:rsidRPr="005E2A5F">
        <w:rPr>
          <w:rFonts w:eastAsiaTheme="minorHAnsi" w:cs="Arial"/>
          <w:color w:val="auto"/>
          <w:lang w:eastAsia="en-US"/>
        </w:rPr>
        <w:t xml:space="preserve"> the </w:t>
      </w:r>
      <w:r w:rsidR="00D566CA">
        <w:rPr>
          <w:rFonts w:eastAsiaTheme="minorHAnsi" w:cs="Arial"/>
          <w:color w:val="auto"/>
          <w:lang w:eastAsia="en-US"/>
        </w:rPr>
        <w:t>most cost-effective solutions or the best outcomes for residents.</w:t>
      </w:r>
      <w:r w:rsidR="00203CCB">
        <w:rPr>
          <w:rFonts w:eastAsiaTheme="minorHAnsi" w:cs="Arial"/>
          <w:color w:val="auto"/>
          <w:lang w:eastAsia="en-US"/>
        </w:rPr>
        <w:t xml:space="preserve">  </w:t>
      </w:r>
    </w:p>
    <w:p w:rsidR="002329CF" w:rsidRDefault="002329CF" w:rsidP="0050321C">
      <w:pPr>
        <w:pStyle w:val="Heading1"/>
      </w:pPr>
      <w:r w:rsidRPr="001356F1">
        <w:t xml:space="preserve">Equalities impact </w:t>
      </w:r>
    </w:p>
    <w:p w:rsidR="00747E90" w:rsidRPr="00747E90" w:rsidRDefault="00D566CA" w:rsidP="00203CCB">
      <w:pPr>
        <w:ind w:left="426" w:hanging="426"/>
      </w:pPr>
      <w:r>
        <w:t xml:space="preserve">15. </w:t>
      </w:r>
      <w:r w:rsidR="00747E90">
        <w:t>There are no equalities implications arising from the commissioning of the studies</w:t>
      </w:r>
      <w:r>
        <w:t xml:space="preserve"> outlined in the report</w:t>
      </w:r>
      <w:r w:rsidR="00747E90">
        <w:t>.</w:t>
      </w:r>
    </w:p>
    <w:p w:rsidR="002329CF" w:rsidRPr="001356F1" w:rsidRDefault="002329CF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9705F9" w:rsidP="009705F9">
            <w:r>
              <w:t>Caroline Green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lastRenderedPageBreak/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9705F9" w:rsidP="009705F9">
            <w:r>
              <w:t>Assistant Chief Executive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681F87" w:rsidP="00A46E98">
            <w:r>
              <w:t>Chief Executive Office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E87F7A" w:rsidP="00AE7847">
            <w:r w:rsidRPr="001356F1">
              <w:t xml:space="preserve">01865 </w:t>
            </w:r>
            <w:r w:rsidR="00AE7847">
              <w:t>252562</w:t>
            </w:r>
            <w:r w:rsidRPr="001356F1">
              <w:t xml:space="preserve">  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7847" w:rsidRPr="001356F1" w:rsidRDefault="003B765D" w:rsidP="00203CCB">
            <w:pPr>
              <w:rPr>
                <w:rStyle w:val="Hyperlink"/>
                <w:color w:val="000000"/>
              </w:rPr>
            </w:pPr>
            <w:hyperlink r:id="rId9" w:history="1">
              <w:r w:rsidR="00AE7847" w:rsidRPr="004F3717">
                <w:rPr>
                  <w:rStyle w:val="Hyperlink"/>
                </w:rPr>
                <w:t>cgreen@oxford.gov.uk</w:t>
              </w:r>
            </w:hyperlink>
          </w:p>
        </w:tc>
      </w:tr>
    </w:tbl>
    <w:p w:rsidR="00433B96" w:rsidRPr="001356F1" w:rsidRDefault="00433B96" w:rsidP="004A6D2F"/>
    <w:sectPr w:rsidR="00433B96" w:rsidRPr="001356F1" w:rsidSect="00BC200B">
      <w:footerReference w:type="even" r:id="rId10"/>
      <w:headerReference w:type="first" r:id="rId11"/>
      <w:footerReference w:type="first" r:id="rId12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47" w:rsidRDefault="00221A47" w:rsidP="004A6D2F">
      <w:r>
        <w:separator/>
      </w:r>
    </w:p>
  </w:endnote>
  <w:endnote w:type="continuationSeparator" w:id="0">
    <w:p w:rsidR="00221A47" w:rsidRDefault="00221A47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2DE" w:rsidRDefault="00FE42DE" w:rsidP="004A6D2F">
    <w:pPr>
      <w:pStyle w:val="Footer"/>
    </w:pPr>
    <w:r>
      <w:t>Do not use a footer or page numbers.</w:t>
    </w:r>
  </w:p>
  <w:p w:rsidR="00FE42DE" w:rsidRDefault="00FE42DE" w:rsidP="004A6D2F">
    <w:pPr>
      <w:pStyle w:val="Footer"/>
    </w:pPr>
  </w:p>
  <w:p w:rsidR="00FE42DE" w:rsidRDefault="00FE42DE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2DE" w:rsidRDefault="00FE42DE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47" w:rsidRDefault="00221A47" w:rsidP="004A6D2F">
      <w:r>
        <w:separator/>
      </w:r>
    </w:p>
  </w:footnote>
  <w:footnote w:type="continuationSeparator" w:id="0">
    <w:p w:rsidR="00221A47" w:rsidRDefault="00221A47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2DE" w:rsidRDefault="00E82554" w:rsidP="00D5547E">
    <w:pPr>
      <w:pStyle w:val="Header"/>
      <w:jc w:val="right"/>
    </w:pPr>
    <w:r>
      <w:rPr>
        <w:noProof/>
      </w:rPr>
      <w:drawing>
        <wp:inline distT="0" distB="0" distL="0" distR="0" wp14:anchorId="10F5A095" wp14:editId="3A1E328B">
          <wp:extent cx="841375" cy="1116965"/>
          <wp:effectExtent l="0" t="0" r="0" b="6985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11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6448B3"/>
    <w:multiLevelType w:val="hybridMultilevel"/>
    <w:tmpl w:val="96BADF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263A6A"/>
    <w:multiLevelType w:val="multilevel"/>
    <w:tmpl w:val="43D6D2FA"/>
    <w:numStyleLink w:val="StyleBulletedSymbolsymbolLeft063cmHanging063cm"/>
  </w:abstractNum>
  <w:abstractNum w:abstractNumId="19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D558D"/>
    <w:multiLevelType w:val="multilevel"/>
    <w:tmpl w:val="E67CE66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F7100"/>
    <w:multiLevelType w:val="hybridMultilevel"/>
    <w:tmpl w:val="9D901F6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BA5FD8"/>
    <w:multiLevelType w:val="multilevel"/>
    <w:tmpl w:val="43D6D2FA"/>
    <w:numStyleLink w:val="StyleBulletedSymbolsymbolLeft063cmHanging063cm"/>
  </w:abstractNum>
  <w:abstractNum w:abstractNumId="30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5B2697"/>
    <w:multiLevelType w:val="multilevel"/>
    <w:tmpl w:val="559221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62A22831"/>
    <w:multiLevelType w:val="multilevel"/>
    <w:tmpl w:val="43D6D2FA"/>
    <w:numStyleLink w:val="StyleBulletedSymbolsymbolLeft063cmHanging063cm"/>
  </w:abstractNum>
  <w:abstractNum w:abstractNumId="33">
    <w:nsid w:val="6A5A4D46"/>
    <w:multiLevelType w:val="hybridMultilevel"/>
    <w:tmpl w:val="BCA80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8F0514"/>
    <w:multiLevelType w:val="hybridMultilevel"/>
    <w:tmpl w:val="4BD8EFD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4B35E0"/>
    <w:multiLevelType w:val="hybridMultilevel"/>
    <w:tmpl w:val="3B56A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B42473"/>
    <w:multiLevelType w:val="hybridMultilevel"/>
    <w:tmpl w:val="35E64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365C6"/>
    <w:multiLevelType w:val="multilevel"/>
    <w:tmpl w:val="E67CE66C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5"/>
  </w:num>
  <w:num w:numId="3">
    <w:abstractNumId w:val="24"/>
  </w:num>
  <w:num w:numId="4">
    <w:abstractNumId w:val="19"/>
  </w:num>
  <w:num w:numId="5">
    <w:abstractNumId w:val="30"/>
  </w:num>
  <w:num w:numId="6">
    <w:abstractNumId w:val="37"/>
  </w:num>
  <w:num w:numId="7">
    <w:abstractNumId w:val="23"/>
  </w:num>
  <w:num w:numId="8">
    <w:abstractNumId w:val="21"/>
  </w:num>
  <w:num w:numId="9">
    <w:abstractNumId w:val="13"/>
  </w:num>
  <w:num w:numId="10">
    <w:abstractNumId w:val="16"/>
  </w:num>
  <w:num w:numId="11">
    <w:abstractNumId w:val="26"/>
  </w:num>
  <w:num w:numId="12">
    <w:abstractNumId w:val="25"/>
  </w:num>
  <w:num w:numId="13">
    <w:abstractNumId w:val="10"/>
  </w:num>
  <w:num w:numId="14">
    <w:abstractNumId w:val="40"/>
  </w:num>
  <w:num w:numId="15">
    <w:abstractNumId w:val="17"/>
  </w:num>
  <w:num w:numId="16">
    <w:abstractNumId w:val="11"/>
  </w:num>
  <w:num w:numId="17">
    <w:abstractNumId w:val="29"/>
  </w:num>
  <w:num w:numId="18">
    <w:abstractNumId w:val="12"/>
  </w:num>
  <w:num w:numId="19">
    <w:abstractNumId w:val="32"/>
  </w:num>
  <w:num w:numId="20">
    <w:abstractNumId w:val="18"/>
  </w:num>
  <w:num w:numId="21">
    <w:abstractNumId w:val="22"/>
  </w:num>
  <w:num w:numId="22">
    <w:abstractNumId w:val="14"/>
  </w:num>
  <w:num w:numId="23">
    <w:abstractNumId w:val="34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7"/>
  </w:num>
  <w:num w:numId="35">
    <w:abstractNumId w:val="36"/>
  </w:num>
  <w:num w:numId="36">
    <w:abstractNumId w:val="38"/>
  </w:num>
  <w:num w:numId="37">
    <w:abstractNumId w:val="33"/>
  </w:num>
  <w:num w:numId="38">
    <w:abstractNumId w:val="20"/>
  </w:num>
  <w:num w:numId="39">
    <w:abstractNumId w:val="31"/>
  </w:num>
  <w:num w:numId="40">
    <w:abstractNumId w:val="15"/>
  </w:num>
  <w:num w:numId="41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46"/>
    <w:rsid w:val="000117D4"/>
    <w:rsid w:val="000314D7"/>
    <w:rsid w:val="00045F8B"/>
    <w:rsid w:val="00046D2B"/>
    <w:rsid w:val="00056263"/>
    <w:rsid w:val="00064D8A"/>
    <w:rsid w:val="00064F82"/>
    <w:rsid w:val="00066510"/>
    <w:rsid w:val="00071F89"/>
    <w:rsid w:val="00077523"/>
    <w:rsid w:val="000B31F2"/>
    <w:rsid w:val="000C089F"/>
    <w:rsid w:val="000C3928"/>
    <w:rsid w:val="000C5E8E"/>
    <w:rsid w:val="000F4751"/>
    <w:rsid w:val="0010524C"/>
    <w:rsid w:val="00111FB1"/>
    <w:rsid w:val="00113418"/>
    <w:rsid w:val="00115460"/>
    <w:rsid w:val="001356F1"/>
    <w:rsid w:val="00136994"/>
    <w:rsid w:val="0014128E"/>
    <w:rsid w:val="00151888"/>
    <w:rsid w:val="00170A2D"/>
    <w:rsid w:val="001808BC"/>
    <w:rsid w:val="00182B81"/>
    <w:rsid w:val="0018619D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1F1746"/>
    <w:rsid w:val="00203CCB"/>
    <w:rsid w:val="002043E9"/>
    <w:rsid w:val="002069B3"/>
    <w:rsid w:val="00221A47"/>
    <w:rsid w:val="002329CF"/>
    <w:rsid w:val="00232F5B"/>
    <w:rsid w:val="00247C29"/>
    <w:rsid w:val="00260467"/>
    <w:rsid w:val="00263EA3"/>
    <w:rsid w:val="00284F85"/>
    <w:rsid w:val="00290915"/>
    <w:rsid w:val="002A080C"/>
    <w:rsid w:val="002A22E2"/>
    <w:rsid w:val="002C64F7"/>
    <w:rsid w:val="002F41F2"/>
    <w:rsid w:val="00301BF3"/>
    <w:rsid w:val="0030208D"/>
    <w:rsid w:val="00323418"/>
    <w:rsid w:val="003357BF"/>
    <w:rsid w:val="00364FAD"/>
    <w:rsid w:val="0036738F"/>
    <w:rsid w:val="0036759C"/>
    <w:rsid w:val="00367AE5"/>
    <w:rsid w:val="00367D71"/>
    <w:rsid w:val="0038150A"/>
    <w:rsid w:val="003846CA"/>
    <w:rsid w:val="003B6E75"/>
    <w:rsid w:val="003B765D"/>
    <w:rsid w:val="003B7DA1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62AB5"/>
    <w:rsid w:val="00465EAF"/>
    <w:rsid w:val="004738C5"/>
    <w:rsid w:val="00491046"/>
    <w:rsid w:val="004A2AC7"/>
    <w:rsid w:val="004A6D2F"/>
    <w:rsid w:val="004A7A04"/>
    <w:rsid w:val="004C2887"/>
    <w:rsid w:val="004D2626"/>
    <w:rsid w:val="004D6E26"/>
    <w:rsid w:val="004D77D3"/>
    <w:rsid w:val="004E2959"/>
    <w:rsid w:val="004E3F49"/>
    <w:rsid w:val="004F20EF"/>
    <w:rsid w:val="0050321C"/>
    <w:rsid w:val="0054712D"/>
    <w:rsid w:val="00547EF6"/>
    <w:rsid w:val="00555508"/>
    <w:rsid w:val="005570B5"/>
    <w:rsid w:val="00567E18"/>
    <w:rsid w:val="00575F5F"/>
    <w:rsid w:val="00581805"/>
    <w:rsid w:val="00585F76"/>
    <w:rsid w:val="005A34E4"/>
    <w:rsid w:val="005B17F2"/>
    <w:rsid w:val="005B7FB0"/>
    <w:rsid w:val="005C1336"/>
    <w:rsid w:val="005C35A5"/>
    <w:rsid w:val="005C577C"/>
    <w:rsid w:val="005D0621"/>
    <w:rsid w:val="005D1E27"/>
    <w:rsid w:val="005D2A3E"/>
    <w:rsid w:val="005E022E"/>
    <w:rsid w:val="005E2A5F"/>
    <w:rsid w:val="005E5215"/>
    <w:rsid w:val="005F7F7E"/>
    <w:rsid w:val="00614693"/>
    <w:rsid w:val="00623C2F"/>
    <w:rsid w:val="00633578"/>
    <w:rsid w:val="00637068"/>
    <w:rsid w:val="00650811"/>
    <w:rsid w:val="00655D44"/>
    <w:rsid w:val="00661D3E"/>
    <w:rsid w:val="00681F87"/>
    <w:rsid w:val="00691ECB"/>
    <w:rsid w:val="00692627"/>
    <w:rsid w:val="006969E7"/>
    <w:rsid w:val="006A3643"/>
    <w:rsid w:val="006C2A29"/>
    <w:rsid w:val="006C64CF"/>
    <w:rsid w:val="006D17B1"/>
    <w:rsid w:val="006D4752"/>
    <w:rsid w:val="006D708A"/>
    <w:rsid w:val="006E14C1"/>
    <w:rsid w:val="006F0292"/>
    <w:rsid w:val="006F27FA"/>
    <w:rsid w:val="006F416B"/>
    <w:rsid w:val="006F519B"/>
    <w:rsid w:val="00713675"/>
    <w:rsid w:val="00715823"/>
    <w:rsid w:val="00725D9C"/>
    <w:rsid w:val="00737B93"/>
    <w:rsid w:val="00745BF0"/>
    <w:rsid w:val="00747E90"/>
    <w:rsid w:val="00756B96"/>
    <w:rsid w:val="007615FE"/>
    <w:rsid w:val="00762962"/>
    <w:rsid w:val="0076655C"/>
    <w:rsid w:val="007742DC"/>
    <w:rsid w:val="00791437"/>
    <w:rsid w:val="007B0C2C"/>
    <w:rsid w:val="007B278E"/>
    <w:rsid w:val="007C5C23"/>
    <w:rsid w:val="007C6F9A"/>
    <w:rsid w:val="007E2A26"/>
    <w:rsid w:val="007F2348"/>
    <w:rsid w:val="00803F07"/>
    <w:rsid w:val="0080749A"/>
    <w:rsid w:val="00821FB8"/>
    <w:rsid w:val="00822ACD"/>
    <w:rsid w:val="00837F5E"/>
    <w:rsid w:val="00855C66"/>
    <w:rsid w:val="00871EE4"/>
    <w:rsid w:val="008B293F"/>
    <w:rsid w:val="008B7371"/>
    <w:rsid w:val="008D3DDB"/>
    <w:rsid w:val="008F573F"/>
    <w:rsid w:val="009034EC"/>
    <w:rsid w:val="0093067A"/>
    <w:rsid w:val="00941C60"/>
    <w:rsid w:val="00966D42"/>
    <w:rsid w:val="009705F9"/>
    <w:rsid w:val="00971689"/>
    <w:rsid w:val="00973E90"/>
    <w:rsid w:val="00975B07"/>
    <w:rsid w:val="00980B4A"/>
    <w:rsid w:val="009E3D0A"/>
    <w:rsid w:val="009E51FC"/>
    <w:rsid w:val="009F1D28"/>
    <w:rsid w:val="009F7618"/>
    <w:rsid w:val="00A04D23"/>
    <w:rsid w:val="00A06766"/>
    <w:rsid w:val="00A13765"/>
    <w:rsid w:val="00A21B12"/>
    <w:rsid w:val="00A23F80"/>
    <w:rsid w:val="00A46E98"/>
    <w:rsid w:val="00A6352B"/>
    <w:rsid w:val="00A701B5"/>
    <w:rsid w:val="00A714BB"/>
    <w:rsid w:val="00A92D8F"/>
    <w:rsid w:val="00AB2988"/>
    <w:rsid w:val="00AB7999"/>
    <w:rsid w:val="00AD3292"/>
    <w:rsid w:val="00AE7847"/>
    <w:rsid w:val="00AE7AF0"/>
    <w:rsid w:val="00B500CA"/>
    <w:rsid w:val="00B86314"/>
    <w:rsid w:val="00BA1C2E"/>
    <w:rsid w:val="00BC200B"/>
    <w:rsid w:val="00BC4756"/>
    <w:rsid w:val="00BC69A4"/>
    <w:rsid w:val="00BE0680"/>
    <w:rsid w:val="00BE305F"/>
    <w:rsid w:val="00BE7BA3"/>
    <w:rsid w:val="00BF5682"/>
    <w:rsid w:val="00BF7B09"/>
    <w:rsid w:val="00C20A95"/>
    <w:rsid w:val="00C2692F"/>
    <w:rsid w:val="00C3207C"/>
    <w:rsid w:val="00C400E1"/>
    <w:rsid w:val="00C40C34"/>
    <w:rsid w:val="00C41187"/>
    <w:rsid w:val="00C63C31"/>
    <w:rsid w:val="00C757A0"/>
    <w:rsid w:val="00C760DE"/>
    <w:rsid w:val="00C82630"/>
    <w:rsid w:val="00C85B4E"/>
    <w:rsid w:val="00C907F7"/>
    <w:rsid w:val="00CA2103"/>
    <w:rsid w:val="00CB6B99"/>
    <w:rsid w:val="00CE4C87"/>
    <w:rsid w:val="00CE544A"/>
    <w:rsid w:val="00D11E1C"/>
    <w:rsid w:val="00D160B0"/>
    <w:rsid w:val="00D17F94"/>
    <w:rsid w:val="00D223FC"/>
    <w:rsid w:val="00D26D1E"/>
    <w:rsid w:val="00D36C34"/>
    <w:rsid w:val="00D474CF"/>
    <w:rsid w:val="00D5547E"/>
    <w:rsid w:val="00D566CA"/>
    <w:rsid w:val="00D869A1"/>
    <w:rsid w:val="00DA413F"/>
    <w:rsid w:val="00DA4584"/>
    <w:rsid w:val="00DA614B"/>
    <w:rsid w:val="00DC3060"/>
    <w:rsid w:val="00DE0FB2"/>
    <w:rsid w:val="00DF093E"/>
    <w:rsid w:val="00E01F42"/>
    <w:rsid w:val="00E206D6"/>
    <w:rsid w:val="00E3366E"/>
    <w:rsid w:val="00E52086"/>
    <w:rsid w:val="00E5403F"/>
    <w:rsid w:val="00E543A6"/>
    <w:rsid w:val="00E60479"/>
    <w:rsid w:val="00E61D73"/>
    <w:rsid w:val="00E73684"/>
    <w:rsid w:val="00E818D6"/>
    <w:rsid w:val="00E82554"/>
    <w:rsid w:val="00E87F7A"/>
    <w:rsid w:val="00E96BD7"/>
    <w:rsid w:val="00EA0DB1"/>
    <w:rsid w:val="00EA0EE9"/>
    <w:rsid w:val="00ED52CA"/>
    <w:rsid w:val="00ED5860"/>
    <w:rsid w:val="00EE35C9"/>
    <w:rsid w:val="00F05ECA"/>
    <w:rsid w:val="00F228D0"/>
    <w:rsid w:val="00F3566E"/>
    <w:rsid w:val="00F375FB"/>
    <w:rsid w:val="00F41AC1"/>
    <w:rsid w:val="00F4367A"/>
    <w:rsid w:val="00F445B1"/>
    <w:rsid w:val="00F45CD4"/>
    <w:rsid w:val="00F66DCA"/>
    <w:rsid w:val="00F74F53"/>
    <w:rsid w:val="00F7606D"/>
    <w:rsid w:val="00F81670"/>
    <w:rsid w:val="00F82024"/>
    <w:rsid w:val="00F95BC9"/>
    <w:rsid w:val="00FA624C"/>
    <w:rsid w:val="00FC5CB2"/>
    <w:rsid w:val="00FD0FAC"/>
    <w:rsid w:val="00FD1DFA"/>
    <w:rsid w:val="00FD4966"/>
    <w:rsid w:val="00FE3F8F"/>
    <w:rsid w:val="00FE42DE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i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styleId="FollowedHyperlink">
    <w:name w:val="FollowedHyperlink"/>
    <w:rsid w:val="00AE7847"/>
    <w:rPr>
      <w:color w:val="800080"/>
      <w:u w:val="single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555508"/>
    <w:rPr>
      <w:color w:val="000000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5550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E3F49"/>
    <w:pPr>
      <w:spacing w:after="0"/>
    </w:pPr>
    <w:rPr>
      <w:rFonts w:eastAsiaTheme="minorHAnsi" w:cstheme="minorBidi"/>
      <w:color w:val="auto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E3F49"/>
    <w:rPr>
      <w:rFonts w:eastAsiaTheme="minorHAnsi" w:cstheme="minorBidi"/>
      <w:sz w:val="24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i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styleId="FollowedHyperlink">
    <w:name w:val="FollowedHyperlink"/>
    <w:rsid w:val="00AE7847"/>
    <w:rPr>
      <w:color w:val="800080"/>
      <w:u w:val="single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555508"/>
    <w:rPr>
      <w:color w:val="000000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5550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E3F49"/>
    <w:pPr>
      <w:spacing w:after="0"/>
    </w:pPr>
    <w:rPr>
      <w:rFonts w:eastAsiaTheme="minorHAnsi" w:cstheme="minorBidi"/>
      <w:color w:val="auto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E3F49"/>
    <w:rPr>
      <w:rFonts w:eastAsiaTheme="minorHAnsi" w:cstheme="minorBid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green@oxfor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.green\AppData\Local\Microsoft\Windows\Temporary%20Internet%20Files\Content.Outlook\GM2PX8GB\CEB%20report%20-%2014%20April%202016%20J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6DC5F-99B8-4086-BE03-C1B43D0E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CEB report - 14 April 2016 JT (2)</Template>
  <TotalTime>26</TotalTime>
  <Pages>4</Pages>
  <Words>1106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7355</CharactersWithSpaces>
  <SharedDoc>false</SharedDoc>
  <HLinks>
    <vt:vector size="6" baseType="variant">
      <vt:variant>
        <vt:i4>4259890</vt:i4>
      </vt:variant>
      <vt:variant>
        <vt:i4>0</vt:i4>
      </vt:variant>
      <vt:variant>
        <vt:i4>0</vt:i4>
      </vt:variant>
      <vt:variant>
        <vt:i4>5</vt:i4>
      </vt:variant>
      <vt:variant>
        <vt:lpwstr>mailto:cgreen@oxford.gov.uk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caroline.green</dc:creator>
  <cp:lastModifiedBy>catherine.phythian</cp:lastModifiedBy>
  <cp:revision>6</cp:revision>
  <cp:lastPrinted>2015-07-03T13:50:00Z</cp:lastPrinted>
  <dcterms:created xsi:type="dcterms:W3CDTF">2016-03-16T13:40:00Z</dcterms:created>
  <dcterms:modified xsi:type="dcterms:W3CDTF">2016-03-16T15:01:00Z</dcterms:modified>
</cp:coreProperties>
</file>